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Il percorso ambisce a creare una collaborazione con i principali enti locali di gestione e tutela del patrimonio naturalistico- ambientale per lo sviluppo di competenze in ambito artistico e di marketing territoriale.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